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56" w:rsidRDefault="00E27356" w:rsidP="006556B6">
      <w:pPr>
        <w:pStyle w:val="BodyText"/>
        <w:jc w:val="center"/>
        <w:rPr>
          <w:rFonts w:ascii="Trebuchet MS" w:hAnsi="Trebuchet MS"/>
          <w:b/>
          <w:sz w:val="32"/>
          <w:szCs w:val="32"/>
          <w:lang w:val="en-GB"/>
        </w:rPr>
      </w:pPr>
    </w:p>
    <w:p w:rsidR="00E27356" w:rsidRPr="006556B6" w:rsidRDefault="00E27356" w:rsidP="006556B6">
      <w:pPr>
        <w:pStyle w:val="BodyText"/>
        <w:jc w:val="center"/>
        <w:rPr>
          <w:rFonts w:ascii="Trebuchet MS" w:hAnsi="Trebuchet MS"/>
          <w:b/>
          <w:sz w:val="32"/>
          <w:szCs w:val="32"/>
          <w:lang w:val="en-GB"/>
        </w:rPr>
      </w:pPr>
      <w:r w:rsidRPr="006556B6">
        <w:rPr>
          <w:rFonts w:ascii="Trebuchet MS" w:hAnsi="Trebuchet MS"/>
          <w:b/>
          <w:sz w:val="32"/>
          <w:szCs w:val="32"/>
          <w:lang w:val="en-GB"/>
        </w:rPr>
        <w:t>Policy Statement: Sustainable Procurement</w:t>
      </w:r>
    </w:p>
    <w:p w:rsidR="00E27356" w:rsidRPr="006556B6" w:rsidRDefault="00E27356" w:rsidP="006556B6">
      <w:pPr>
        <w:pStyle w:val="BodyText"/>
        <w:rPr>
          <w:rFonts w:ascii="Trebuchet MS" w:hAnsi="Trebuchet MS"/>
          <w:sz w:val="20"/>
          <w:szCs w:val="20"/>
          <w:u w:val="single"/>
          <w:lang w:val="en-GB"/>
        </w:rPr>
      </w:pPr>
    </w:p>
    <w:p w:rsidR="00E27356" w:rsidRPr="006556B6" w:rsidRDefault="00E27356" w:rsidP="006556B6">
      <w:pPr>
        <w:pStyle w:val="BodyText"/>
        <w:rPr>
          <w:rFonts w:ascii="Trebuchet MS" w:hAnsi="Trebuchet MS"/>
          <w:b/>
          <w:sz w:val="24"/>
          <w:szCs w:val="24"/>
        </w:rPr>
      </w:pPr>
      <w:r w:rsidRPr="006556B6">
        <w:rPr>
          <w:rFonts w:ascii="Trebuchet MS" w:hAnsi="Trebuchet MS"/>
          <w:b/>
          <w:bCs/>
          <w:sz w:val="24"/>
          <w:szCs w:val="24"/>
        </w:rPr>
        <w:t>Statement of intent</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 xml:space="preserve">The directors of the organisation believe that the environment is one of our principal concerns and that our relationships with our suppliers and local communities must demonstrate this.  We are committed to understanding and managing the environmental and social impacts of our operations, including the procurement of goods and services. </w:t>
      </w:r>
    </w:p>
    <w:p w:rsidR="00E27356" w:rsidRPr="006556B6" w:rsidRDefault="00E27356" w:rsidP="006556B6">
      <w:pPr>
        <w:pStyle w:val="BodyText"/>
        <w:rPr>
          <w:rFonts w:ascii="Trebuchet MS" w:hAnsi="Trebuchet MS"/>
          <w:sz w:val="20"/>
          <w:szCs w:val="20"/>
          <w:lang w:val="en-GB"/>
        </w:rPr>
      </w:pPr>
      <w:r w:rsidRPr="006556B6">
        <w:rPr>
          <w:rFonts w:ascii="Trebuchet MS" w:hAnsi="Trebuchet MS"/>
          <w:sz w:val="20"/>
          <w:szCs w:val="20"/>
        </w:rPr>
        <w:t>Ensuring sustainability is embedded across every function of our business, including procurement, is essential to our goal of making a sustainable contribution to society.  This sustainable procurement policy explains how we will integrate environmental and social considerations into procurement practices.  We recognise that improving our procurement performance is an ongoing process and that our suppliers, both large and small, are important partners in our journey to becoming more sustainable.</w:t>
      </w:r>
    </w:p>
    <w:p w:rsidR="00E27356" w:rsidRPr="006556B6" w:rsidRDefault="00E27356" w:rsidP="006556B6">
      <w:pPr>
        <w:pStyle w:val="BodyText"/>
        <w:rPr>
          <w:rFonts w:ascii="Trebuchet MS" w:hAnsi="Trebuchet MS"/>
          <w:sz w:val="20"/>
          <w:szCs w:val="20"/>
        </w:rPr>
      </w:pPr>
    </w:p>
    <w:p w:rsidR="00E27356" w:rsidRPr="006556B6" w:rsidRDefault="00E27356" w:rsidP="006556B6">
      <w:pPr>
        <w:pStyle w:val="BodyText"/>
        <w:rPr>
          <w:rFonts w:ascii="Trebuchet MS" w:hAnsi="Trebuchet MS"/>
          <w:sz w:val="20"/>
          <w:szCs w:val="20"/>
          <w:u w:val="single"/>
        </w:rPr>
      </w:pPr>
      <w:r w:rsidRPr="006556B6">
        <w:rPr>
          <w:rFonts w:ascii="Trebuchet MS" w:hAnsi="Trebuchet MS"/>
          <w:b/>
          <w:bCs/>
          <w:sz w:val="24"/>
          <w:szCs w:val="24"/>
        </w:rPr>
        <w:t>Aim</w:t>
      </w:r>
    </w:p>
    <w:p w:rsidR="00E27356" w:rsidRPr="006556B6" w:rsidRDefault="00E27356" w:rsidP="006556B6">
      <w:pPr>
        <w:pStyle w:val="BodyText"/>
        <w:rPr>
          <w:rFonts w:ascii="Trebuchet MS" w:hAnsi="Trebuchet MS"/>
          <w:sz w:val="20"/>
          <w:szCs w:val="20"/>
          <w:lang w:val="en-GB"/>
        </w:rPr>
      </w:pPr>
      <w:r w:rsidRPr="006556B6">
        <w:rPr>
          <w:rFonts w:ascii="Trebuchet MS" w:hAnsi="Trebuchet MS"/>
          <w:sz w:val="20"/>
          <w:szCs w:val="20"/>
          <w:lang w:val="en-GB"/>
        </w:rPr>
        <w:t>We are committed to ensuring the goods and services we purchase are manufactured, delivered, used and disposed of in an environmentally and socially responsible manner.</w:t>
      </w: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bCs/>
          <w:sz w:val="20"/>
          <w:szCs w:val="20"/>
          <w:u w:val="single"/>
        </w:rPr>
      </w:pPr>
      <w:r w:rsidRPr="006556B6">
        <w:rPr>
          <w:rFonts w:ascii="Trebuchet MS" w:hAnsi="Trebuchet MS"/>
          <w:b/>
          <w:bCs/>
          <w:sz w:val="24"/>
          <w:szCs w:val="24"/>
        </w:rPr>
        <w:t>Objectives</w:t>
      </w:r>
      <w:r w:rsidRPr="006556B6">
        <w:rPr>
          <w:rFonts w:ascii="Trebuchet MS" w:hAnsi="Trebuchet MS"/>
          <w:bCs/>
          <w:sz w:val="20"/>
          <w:szCs w:val="20"/>
          <w:u w:val="single"/>
        </w:rPr>
        <w:t xml:space="preserve"> </w:t>
      </w:r>
    </w:p>
    <w:p w:rsidR="00E27356" w:rsidRPr="006556B6" w:rsidRDefault="00E27356" w:rsidP="006556B6">
      <w:pPr>
        <w:pStyle w:val="BodyText"/>
        <w:numPr>
          <w:ilvl w:val="0"/>
          <w:numId w:val="24"/>
        </w:numPr>
        <w:rPr>
          <w:rFonts w:ascii="Trebuchet MS" w:hAnsi="Trebuchet MS"/>
          <w:sz w:val="20"/>
          <w:szCs w:val="20"/>
        </w:rPr>
      </w:pPr>
      <w:r w:rsidRPr="006556B6">
        <w:rPr>
          <w:rFonts w:ascii="Trebuchet MS" w:hAnsi="Trebuchet MS"/>
          <w:sz w:val="20"/>
          <w:szCs w:val="20"/>
        </w:rPr>
        <w:t>To minimise our environmental impact and deliver community benefits through better selection of products and services.</w:t>
      </w:r>
    </w:p>
    <w:p w:rsidR="00E27356" w:rsidRPr="006556B6" w:rsidRDefault="00E27356" w:rsidP="006556B6">
      <w:pPr>
        <w:pStyle w:val="BodyText"/>
        <w:numPr>
          <w:ilvl w:val="0"/>
          <w:numId w:val="24"/>
        </w:numPr>
        <w:rPr>
          <w:rFonts w:ascii="Trebuchet MS" w:hAnsi="Trebuchet MS"/>
          <w:sz w:val="20"/>
          <w:szCs w:val="20"/>
        </w:rPr>
      </w:pPr>
      <w:r w:rsidRPr="006556B6">
        <w:rPr>
          <w:rFonts w:ascii="Trebuchet MS" w:hAnsi="Trebuchet MS"/>
          <w:sz w:val="20"/>
          <w:szCs w:val="20"/>
        </w:rPr>
        <w:t>To foster innovation in our supply chain in order to increase the availability and effectiveness of sustainable solutions that meet the requirements of our</w:t>
      </w:r>
      <w:r w:rsidRPr="006556B6">
        <w:rPr>
          <w:rFonts w:ascii="Trebuchet MS" w:hAnsi="Trebuchet MS"/>
          <w:sz w:val="20"/>
          <w:szCs w:val="20"/>
          <w:lang w:val="en-GB"/>
        </w:rPr>
        <w:t xml:space="preserve"> organisation</w:t>
      </w:r>
      <w:r w:rsidRPr="006556B6">
        <w:rPr>
          <w:rFonts w:ascii="Trebuchet MS" w:hAnsi="Trebuchet MS"/>
          <w:sz w:val="20"/>
          <w:szCs w:val="20"/>
        </w:rPr>
        <w:t>.</w:t>
      </w:r>
    </w:p>
    <w:p w:rsidR="00E27356" w:rsidRPr="006556B6" w:rsidRDefault="00E27356" w:rsidP="006556B6">
      <w:pPr>
        <w:pStyle w:val="BodyText"/>
        <w:numPr>
          <w:ilvl w:val="0"/>
          <w:numId w:val="24"/>
        </w:numPr>
        <w:rPr>
          <w:rFonts w:ascii="Trebuchet MS" w:hAnsi="Trebuchet MS"/>
          <w:sz w:val="20"/>
          <w:szCs w:val="20"/>
        </w:rPr>
      </w:pPr>
      <w:r w:rsidRPr="006556B6">
        <w:rPr>
          <w:rFonts w:ascii="Trebuchet MS" w:hAnsi="Trebuchet MS"/>
          <w:sz w:val="20"/>
          <w:szCs w:val="20"/>
        </w:rPr>
        <w:t>To encourage our suppliers to adopt practices that</w:t>
      </w:r>
      <w:r w:rsidRPr="006556B6">
        <w:rPr>
          <w:rFonts w:ascii="Trebuchet MS" w:hAnsi="Trebuchet MS"/>
          <w:sz w:val="20"/>
          <w:szCs w:val="20"/>
          <w:lang w:val="en-GB"/>
        </w:rPr>
        <w:t xml:space="preserve"> minimise</w:t>
      </w:r>
      <w:r w:rsidRPr="006556B6">
        <w:rPr>
          <w:rFonts w:ascii="Trebuchet MS" w:hAnsi="Trebuchet MS"/>
          <w:sz w:val="20"/>
          <w:szCs w:val="20"/>
        </w:rPr>
        <w:t xml:space="preserve"> their environmental impact and deliver community benefits, in relation to their own operations, and throughout the supply chains in which they operate.</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The UK Government has identified climate change as a key priority in order to ensure that future generations are able to enjoy their natural and built environment.  To achieve this goal, the Government has mandated several sustainable procurement policies which our</w:t>
      </w:r>
      <w:r w:rsidRPr="006556B6">
        <w:rPr>
          <w:rFonts w:ascii="Trebuchet MS" w:hAnsi="Trebuchet MS"/>
          <w:sz w:val="20"/>
          <w:szCs w:val="20"/>
          <w:lang w:val="en-GB"/>
        </w:rPr>
        <w:t xml:space="preserve"> organisation</w:t>
      </w:r>
      <w:r w:rsidRPr="006556B6">
        <w:rPr>
          <w:rFonts w:ascii="Trebuchet MS" w:hAnsi="Trebuchet MS"/>
          <w:sz w:val="20"/>
          <w:szCs w:val="20"/>
        </w:rPr>
        <w:t xml:space="preserve"> adopts.  As a result, our purchasing decisions will give preference to the following: </w:t>
      </w:r>
    </w:p>
    <w:p w:rsidR="00E27356" w:rsidRPr="006556B6" w:rsidRDefault="00E27356" w:rsidP="006556B6">
      <w:pPr>
        <w:pStyle w:val="BodyText"/>
        <w:numPr>
          <w:ilvl w:val="0"/>
          <w:numId w:val="22"/>
        </w:numPr>
        <w:rPr>
          <w:rFonts w:ascii="Trebuchet MS" w:hAnsi="Trebuchet MS"/>
          <w:sz w:val="20"/>
          <w:szCs w:val="20"/>
        </w:rPr>
      </w:pPr>
      <w:r w:rsidRPr="006556B6">
        <w:rPr>
          <w:rFonts w:ascii="Trebuchet MS" w:hAnsi="Trebuchet MS"/>
          <w:sz w:val="20"/>
          <w:szCs w:val="20"/>
        </w:rPr>
        <w:t xml:space="preserve">any product which meets the specifications listed in the governmental Quick Wins List 2007 </w:t>
      </w:r>
    </w:p>
    <w:p w:rsidR="00E27356" w:rsidRPr="006556B6" w:rsidRDefault="00E27356" w:rsidP="006556B6">
      <w:pPr>
        <w:pStyle w:val="BodyText"/>
        <w:numPr>
          <w:ilvl w:val="0"/>
          <w:numId w:val="22"/>
        </w:numPr>
        <w:rPr>
          <w:rFonts w:ascii="Trebuchet MS" w:hAnsi="Trebuchet MS"/>
          <w:sz w:val="20"/>
          <w:szCs w:val="20"/>
        </w:rPr>
      </w:pPr>
      <w:r w:rsidRPr="006556B6">
        <w:rPr>
          <w:rFonts w:ascii="Trebuchet MS" w:hAnsi="Trebuchet MS"/>
          <w:sz w:val="20"/>
          <w:szCs w:val="20"/>
        </w:rPr>
        <w:t xml:space="preserve">any supplier of a project involving timber who can provide evidence that the timber is legal and sustainable </w:t>
      </w:r>
    </w:p>
    <w:p w:rsidR="00E27356" w:rsidRPr="006556B6" w:rsidRDefault="00E27356" w:rsidP="006556B6">
      <w:pPr>
        <w:pStyle w:val="BodyText"/>
        <w:numPr>
          <w:ilvl w:val="0"/>
          <w:numId w:val="22"/>
        </w:numPr>
        <w:rPr>
          <w:rFonts w:ascii="Trebuchet MS" w:hAnsi="Trebuchet MS"/>
          <w:sz w:val="20"/>
          <w:szCs w:val="20"/>
        </w:rPr>
      </w:pPr>
      <w:r w:rsidRPr="006556B6">
        <w:rPr>
          <w:rFonts w:ascii="Trebuchet MS" w:hAnsi="Trebuchet MS"/>
          <w:sz w:val="20"/>
          <w:szCs w:val="20"/>
        </w:rPr>
        <w:t xml:space="preserve">any product, service or supplier which can support our corporate sustainability strategy and further enable this organisation to: </w:t>
      </w:r>
    </w:p>
    <w:p w:rsidR="00E27356" w:rsidRPr="006556B6" w:rsidRDefault="00E27356" w:rsidP="006556B6">
      <w:pPr>
        <w:pStyle w:val="BodyText"/>
        <w:numPr>
          <w:ilvl w:val="1"/>
          <w:numId w:val="24"/>
        </w:numPr>
        <w:rPr>
          <w:rFonts w:ascii="Trebuchet MS" w:hAnsi="Trebuchet MS"/>
          <w:sz w:val="20"/>
          <w:szCs w:val="20"/>
        </w:rPr>
      </w:pPr>
      <w:r w:rsidRPr="006556B6">
        <w:rPr>
          <w:rFonts w:ascii="Trebuchet MS" w:hAnsi="Trebuchet MS"/>
          <w:sz w:val="20"/>
          <w:szCs w:val="20"/>
        </w:rPr>
        <w:t>reduce carbon emissions</w:t>
      </w:r>
    </w:p>
    <w:p w:rsidR="00E27356" w:rsidRPr="006556B6" w:rsidRDefault="00E27356" w:rsidP="006556B6">
      <w:pPr>
        <w:pStyle w:val="BodyText"/>
        <w:numPr>
          <w:ilvl w:val="1"/>
          <w:numId w:val="24"/>
        </w:numPr>
        <w:rPr>
          <w:rFonts w:ascii="Trebuchet MS" w:hAnsi="Trebuchet MS"/>
          <w:sz w:val="20"/>
          <w:szCs w:val="20"/>
        </w:rPr>
      </w:pPr>
      <w:r w:rsidRPr="006556B6">
        <w:rPr>
          <w:rFonts w:ascii="Trebuchet MS" w:hAnsi="Trebuchet MS"/>
          <w:sz w:val="20"/>
          <w:szCs w:val="20"/>
        </w:rPr>
        <w:t>increase energy efficiency</w:t>
      </w:r>
    </w:p>
    <w:p w:rsidR="00E27356" w:rsidRPr="006556B6" w:rsidRDefault="00E27356" w:rsidP="006556B6">
      <w:pPr>
        <w:pStyle w:val="BodyText"/>
        <w:numPr>
          <w:ilvl w:val="1"/>
          <w:numId w:val="24"/>
        </w:numPr>
        <w:rPr>
          <w:rFonts w:ascii="Trebuchet MS" w:hAnsi="Trebuchet MS"/>
          <w:sz w:val="20"/>
          <w:szCs w:val="20"/>
        </w:rPr>
      </w:pPr>
      <w:r w:rsidRPr="006556B6">
        <w:rPr>
          <w:rFonts w:ascii="Trebuchet MS" w:hAnsi="Trebuchet MS"/>
          <w:sz w:val="20"/>
          <w:szCs w:val="20"/>
        </w:rPr>
        <w:t>reduce levels of waste sent to landfill and improve recycling figures</w:t>
      </w:r>
    </w:p>
    <w:p w:rsidR="00E27356" w:rsidRPr="006556B6" w:rsidRDefault="00E27356" w:rsidP="006556B6">
      <w:pPr>
        <w:pStyle w:val="BodyText"/>
        <w:numPr>
          <w:ilvl w:val="1"/>
          <w:numId w:val="24"/>
        </w:numPr>
        <w:rPr>
          <w:rFonts w:ascii="Trebuchet MS" w:hAnsi="Trebuchet MS"/>
          <w:sz w:val="20"/>
          <w:szCs w:val="20"/>
        </w:rPr>
      </w:pPr>
      <w:r w:rsidRPr="006556B6">
        <w:rPr>
          <w:rFonts w:ascii="Trebuchet MS" w:hAnsi="Trebuchet MS"/>
          <w:sz w:val="20"/>
          <w:szCs w:val="20"/>
        </w:rPr>
        <w:t>reduce water consumption.</w:t>
      </w:r>
    </w:p>
    <w:p w:rsidR="00E27356" w:rsidRPr="006556B6" w:rsidRDefault="00E27356" w:rsidP="006556B6">
      <w:pPr>
        <w:pStyle w:val="BodyText"/>
        <w:rPr>
          <w:rFonts w:ascii="Trebuchet MS" w:hAnsi="Trebuchet MS"/>
          <w:bCs/>
          <w:sz w:val="20"/>
          <w:szCs w:val="20"/>
        </w:rPr>
      </w:pPr>
    </w:p>
    <w:p w:rsidR="00E27356" w:rsidRPr="006556B6" w:rsidRDefault="00E27356" w:rsidP="006556B6">
      <w:pPr>
        <w:pStyle w:val="BodyText"/>
        <w:rPr>
          <w:rFonts w:ascii="Trebuchet MS" w:hAnsi="Trebuchet MS"/>
          <w:b/>
          <w:bCs/>
          <w:sz w:val="24"/>
          <w:szCs w:val="24"/>
        </w:rPr>
      </w:pPr>
      <w:r w:rsidRPr="006556B6">
        <w:rPr>
          <w:rFonts w:ascii="Trebuchet MS" w:hAnsi="Trebuchet MS"/>
          <w:b/>
          <w:bCs/>
          <w:sz w:val="24"/>
          <w:szCs w:val="24"/>
        </w:rPr>
        <w:t xml:space="preserve">Supplier code of conduct </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As the contracting</w:t>
      </w:r>
      <w:r w:rsidRPr="006556B6">
        <w:rPr>
          <w:rFonts w:ascii="Trebuchet MS" w:hAnsi="Trebuchet MS"/>
          <w:sz w:val="20"/>
          <w:szCs w:val="20"/>
          <w:lang w:val="en-GB"/>
        </w:rPr>
        <w:t xml:space="preserve"> organisation</w:t>
      </w:r>
      <w:r w:rsidRPr="006556B6">
        <w:rPr>
          <w:rFonts w:ascii="Trebuchet MS" w:hAnsi="Trebuchet MS"/>
          <w:sz w:val="20"/>
          <w:szCs w:val="20"/>
        </w:rPr>
        <w:t xml:space="preserve">, we expect our suppliers to ensure their practices are supportive of our approach. We would like to procure goods and services that have been produced, or are delivered, with minimum impact on the environment and with regard for social issues such as employment conditions and welfare. </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As a result, we reserve the right to refuse partnerships with</w:t>
      </w:r>
      <w:r w:rsidRPr="006556B6">
        <w:rPr>
          <w:rFonts w:ascii="Trebuchet MS" w:hAnsi="Trebuchet MS"/>
          <w:sz w:val="20"/>
          <w:szCs w:val="20"/>
          <w:lang w:val="en-GB"/>
        </w:rPr>
        <w:t xml:space="preserve"> organisations</w:t>
      </w:r>
      <w:r w:rsidRPr="006556B6">
        <w:rPr>
          <w:rFonts w:ascii="Trebuchet MS" w:hAnsi="Trebuchet MS"/>
          <w:sz w:val="20"/>
          <w:szCs w:val="20"/>
        </w:rPr>
        <w:t xml:space="preserve"> that do not achieve, or are unable to provide evidence of, an action plan of the following minimum standards for their operations, employees and supply chain. These are in accordance with International</w:t>
      </w:r>
      <w:r w:rsidRPr="006556B6">
        <w:rPr>
          <w:rFonts w:ascii="Trebuchet MS" w:hAnsi="Trebuchet MS"/>
          <w:sz w:val="20"/>
          <w:szCs w:val="20"/>
          <w:lang w:val="en-GB"/>
        </w:rPr>
        <w:t xml:space="preserve"> Labour Organization</w:t>
      </w:r>
      <w:r w:rsidRPr="006556B6">
        <w:rPr>
          <w:rFonts w:ascii="Trebuchet MS" w:hAnsi="Trebuchet MS"/>
          <w:sz w:val="20"/>
          <w:szCs w:val="20"/>
        </w:rPr>
        <w:t xml:space="preserve"> (ILO) conventions and other public sector commitments.</w:t>
      </w:r>
    </w:p>
    <w:p w:rsidR="00E27356" w:rsidRPr="006556B6" w:rsidRDefault="00E27356" w:rsidP="006556B6">
      <w:pPr>
        <w:pStyle w:val="BodyText"/>
        <w:rPr>
          <w:rFonts w:ascii="Trebuchet MS" w:hAnsi="Trebuchet MS"/>
          <w:b/>
          <w:sz w:val="20"/>
          <w:szCs w:val="20"/>
        </w:rPr>
      </w:pPr>
      <w:r w:rsidRPr="006556B6">
        <w:rPr>
          <w:rFonts w:ascii="Trebuchet MS" w:hAnsi="Trebuchet MS"/>
          <w:b/>
          <w:bCs/>
          <w:sz w:val="20"/>
          <w:szCs w:val="20"/>
        </w:rPr>
        <w:t xml:space="preserve">Working conditions </w:t>
      </w:r>
    </w:p>
    <w:p w:rsidR="00E27356" w:rsidRPr="006556B6" w:rsidRDefault="00E27356" w:rsidP="006556B6">
      <w:pPr>
        <w:pStyle w:val="BodyText"/>
        <w:rPr>
          <w:rFonts w:ascii="Trebuchet MS" w:hAnsi="Trebuchet MS"/>
          <w:i/>
          <w:sz w:val="20"/>
          <w:szCs w:val="20"/>
        </w:rPr>
      </w:pPr>
      <w:r w:rsidRPr="006556B6">
        <w:rPr>
          <w:rFonts w:ascii="Trebuchet MS" w:hAnsi="Trebuchet MS"/>
          <w:bCs/>
          <w:i/>
          <w:sz w:val="20"/>
          <w:szCs w:val="20"/>
        </w:rPr>
        <w:t>Freedom of Associative and Collective Bargaining (C87 &amp; C98)</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 xml:space="preserve">As far as any relevant laws allow, all employees are free to form or join a union, which pertains to the protection of the terms conditions of the employment of employees, such as wages, hours of work, working conditions and grievance procedures. </w:t>
      </w:r>
    </w:p>
    <w:p w:rsidR="00E27356" w:rsidRPr="006556B6" w:rsidRDefault="00E27356" w:rsidP="006556B6">
      <w:pPr>
        <w:pStyle w:val="BodyText"/>
        <w:rPr>
          <w:rFonts w:ascii="Trebuchet MS" w:hAnsi="Trebuchet MS"/>
          <w:i/>
          <w:sz w:val="20"/>
          <w:szCs w:val="20"/>
        </w:rPr>
      </w:pPr>
      <w:r w:rsidRPr="006556B6">
        <w:rPr>
          <w:rFonts w:ascii="Trebuchet MS" w:hAnsi="Trebuchet MS"/>
          <w:bCs/>
          <w:i/>
          <w:sz w:val="20"/>
          <w:szCs w:val="20"/>
        </w:rPr>
        <w:t>Elimination of Forced and Compulsory</w:t>
      </w:r>
      <w:r w:rsidRPr="006556B6">
        <w:rPr>
          <w:rFonts w:ascii="Trebuchet MS" w:hAnsi="Trebuchet MS"/>
          <w:bCs/>
          <w:i/>
          <w:sz w:val="20"/>
          <w:szCs w:val="20"/>
          <w:lang w:val="en-GB"/>
        </w:rPr>
        <w:t xml:space="preserve"> Labour</w:t>
      </w:r>
      <w:r w:rsidRPr="006556B6">
        <w:rPr>
          <w:rFonts w:ascii="Trebuchet MS" w:hAnsi="Trebuchet MS"/>
          <w:bCs/>
          <w:i/>
          <w:sz w:val="20"/>
          <w:szCs w:val="20"/>
        </w:rPr>
        <w:t xml:space="preserve"> (C29 &amp; C105)</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Forced, bonded or compulsory</w:t>
      </w:r>
      <w:r w:rsidRPr="006556B6">
        <w:rPr>
          <w:rFonts w:ascii="Trebuchet MS" w:hAnsi="Trebuchet MS"/>
          <w:sz w:val="20"/>
          <w:szCs w:val="20"/>
          <w:lang w:val="en-GB"/>
        </w:rPr>
        <w:t xml:space="preserve"> labour</w:t>
      </w:r>
      <w:r w:rsidRPr="006556B6">
        <w:rPr>
          <w:rFonts w:ascii="Trebuchet MS" w:hAnsi="Trebuchet MS"/>
          <w:sz w:val="20"/>
          <w:szCs w:val="20"/>
        </w:rPr>
        <w:t xml:space="preserve"> is not used and employees are free to leave their employment after reasonable notice. Employees are not required to lodge deposits of money or identity papers with their employer. </w:t>
      </w:r>
    </w:p>
    <w:p w:rsidR="00E27356" w:rsidRPr="006556B6" w:rsidRDefault="00E27356" w:rsidP="006556B6">
      <w:pPr>
        <w:pStyle w:val="BodyText"/>
        <w:rPr>
          <w:rFonts w:ascii="Trebuchet MS" w:hAnsi="Trebuchet MS"/>
          <w:i/>
          <w:sz w:val="20"/>
          <w:szCs w:val="20"/>
        </w:rPr>
      </w:pPr>
      <w:r w:rsidRPr="006556B6">
        <w:rPr>
          <w:rFonts w:ascii="Trebuchet MS" w:hAnsi="Trebuchet MS"/>
          <w:bCs/>
          <w:i/>
          <w:sz w:val="20"/>
          <w:szCs w:val="20"/>
        </w:rPr>
        <w:t>Elimination of Discrimination in Respect of Employment and Occupation (C100 &amp; C111)</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 xml:space="preserve">Discrimination based on factors non-relevant to the terms of employment is prohibited. Examples of non-relevant attributes include race, religion, gender, sexual orientation, disability, ethnicity, height, weight and age. </w:t>
      </w:r>
    </w:p>
    <w:p w:rsidR="00E27356" w:rsidRPr="006556B6" w:rsidRDefault="00E27356" w:rsidP="006556B6">
      <w:pPr>
        <w:pStyle w:val="BodyText"/>
        <w:rPr>
          <w:rFonts w:ascii="Trebuchet MS" w:hAnsi="Trebuchet MS"/>
          <w:i/>
          <w:sz w:val="20"/>
          <w:szCs w:val="20"/>
        </w:rPr>
      </w:pPr>
      <w:r w:rsidRPr="006556B6">
        <w:rPr>
          <w:rFonts w:ascii="Trebuchet MS" w:hAnsi="Trebuchet MS"/>
          <w:bCs/>
          <w:i/>
          <w:sz w:val="20"/>
          <w:szCs w:val="20"/>
        </w:rPr>
        <w:t>Abolition of Child</w:t>
      </w:r>
      <w:r w:rsidRPr="006556B6">
        <w:rPr>
          <w:rFonts w:ascii="Trebuchet MS" w:hAnsi="Trebuchet MS"/>
          <w:bCs/>
          <w:i/>
          <w:sz w:val="20"/>
          <w:szCs w:val="20"/>
          <w:lang w:val="en-GB"/>
        </w:rPr>
        <w:t xml:space="preserve"> Labour</w:t>
      </w:r>
      <w:r w:rsidRPr="006556B6">
        <w:rPr>
          <w:rFonts w:ascii="Trebuchet MS" w:hAnsi="Trebuchet MS"/>
          <w:bCs/>
          <w:i/>
          <w:sz w:val="20"/>
          <w:szCs w:val="20"/>
        </w:rPr>
        <w:t xml:space="preserve"> (C138 &amp; C182)</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 xml:space="preserve">Work undertaken by people of 16 years or under without consideration for their personal development, safety, education or health is prohibited. </w:t>
      </w:r>
    </w:p>
    <w:p w:rsidR="00E27356" w:rsidRPr="006556B6" w:rsidRDefault="00E27356" w:rsidP="006556B6">
      <w:pPr>
        <w:pStyle w:val="BodyText"/>
        <w:rPr>
          <w:rFonts w:ascii="Trebuchet MS" w:hAnsi="Trebuchet MS"/>
          <w:b/>
          <w:sz w:val="20"/>
          <w:szCs w:val="20"/>
        </w:rPr>
      </w:pPr>
      <w:r w:rsidRPr="006556B6">
        <w:rPr>
          <w:rFonts w:ascii="Trebuchet MS" w:hAnsi="Trebuchet MS"/>
          <w:b/>
          <w:bCs/>
          <w:sz w:val="20"/>
          <w:szCs w:val="20"/>
        </w:rPr>
        <w:t xml:space="preserve">Supplier diversity </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Within our sustainable procurement policy, we encourage a diverse range of suppliers to tender to provide services, materials or expertise and our aim is to give equal opportunities to all suppliers.</w:t>
      </w:r>
    </w:p>
    <w:p w:rsidR="00E27356" w:rsidRPr="006556B6" w:rsidRDefault="00E27356" w:rsidP="006556B6">
      <w:pPr>
        <w:pStyle w:val="BodyText"/>
        <w:rPr>
          <w:rFonts w:ascii="Trebuchet MS" w:hAnsi="Trebuchet MS"/>
          <w:b/>
          <w:bCs/>
          <w:sz w:val="20"/>
          <w:szCs w:val="20"/>
        </w:rPr>
      </w:pPr>
      <w:r w:rsidRPr="006556B6">
        <w:rPr>
          <w:rFonts w:ascii="Trebuchet MS" w:hAnsi="Trebuchet MS"/>
          <w:b/>
          <w:bCs/>
          <w:sz w:val="20"/>
          <w:szCs w:val="20"/>
        </w:rPr>
        <w:t>Environment</w:t>
      </w:r>
    </w:p>
    <w:p w:rsidR="00E27356" w:rsidRPr="006556B6" w:rsidRDefault="00E27356" w:rsidP="006556B6">
      <w:pPr>
        <w:pStyle w:val="BodyText"/>
        <w:rPr>
          <w:rFonts w:ascii="Trebuchet MS" w:hAnsi="Trebuchet MS"/>
          <w:sz w:val="20"/>
          <w:szCs w:val="20"/>
        </w:rPr>
      </w:pPr>
      <w:r w:rsidRPr="006556B6">
        <w:rPr>
          <w:rFonts w:ascii="Trebuchet MS" w:hAnsi="Trebuchet MS"/>
          <w:sz w:val="20"/>
          <w:szCs w:val="20"/>
        </w:rPr>
        <w:t xml:space="preserve">Processes are in place to actively improve the efficiency with which finite resources, including fossil fuels and water, are used. </w:t>
      </w:r>
    </w:p>
    <w:p w:rsidR="00E2735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b/>
          <w:bCs/>
          <w:sz w:val="24"/>
          <w:szCs w:val="24"/>
        </w:rPr>
      </w:pPr>
      <w:r w:rsidRPr="006556B6">
        <w:rPr>
          <w:rFonts w:ascii="Trebuchet MS" w:hAnsi="Trebuchet MS"/>
          <w:b/>
          <w:bCs/>
          <w:sz w:val="24"/>
          <w:szCs w:val="24"/>
        </w:rPr>
        <w:t>Our working principles</w:t>
      </w:r>
    </w:p>
    <w:p w:rsidR="00E27356" w:rsidRPr="006556B6" w:rsidRDefault="00E27356" w:rsidP="006556B6">
      <w:pPr>
        <w:pStyle w:val="BodyText"/>
        <w:numPr>
          <w:ilvl w:val="0"/>
          <w:numId w:val="26"/>
        </w:numPr>
        <w:rPr>
          <w:rFonts w:ascii="Trebuchet MS" w:hAnsi="Trebuchet MS"/>
          <w:sz w:val="20"/>
          <w:szCs w:val="20"/>
        </w:rPr>
      </w:pPr>
      <w:r w:rsidRPr="006556B6">
        <w:rPr>
          <w:rFonts w:ascii="Trebuchet MS" w:hAnsi="Trebuchet MS"/>
          <w:sz w:val="20"/>
          <w:szCs w:val="20"/>
        </w:rPr>
        <w:t>We will ensure all procurement decisions and actions are considered and determined by a team of in-house specialists. This is to ensure the most sustainable outcomes are achieved.</w:t>
      </w:r>
    </w:p>
    <w:p w:rsidR="00E27356" w:rsidRPr="006556B6" w:rsidRDefault="00E27356" w:rsidP="006556B6">
      <w:pPr>
        <w:pStyle w:val="BodyText"/>
        <w:numPr>
          <w:ilvl w:val="0"/>
          <w:numId w:val="26"/>
        </w:numPr>
        <w:rPr>
          <w:rFonts w:ascii="Trebuchet MS" w:hAnsi="Trebuchet MS"/>
          <w:sz w:val="20"/>
          <w:szCs w:val="20"/>
        </w:rPr>
      </w:pPr>
      <w:r w:rsidRPr="006556B6">
        <w:rPr>
          <w:rFonts w:ascii="Trebuchet MS" w:hAnsi="Trebuchet MS"/>
          <w:sz w:val="20"/>
          <w:szCs w:val="20"/>
        </w:rPr>
        <w:t xml:space="preserve">Appropriate environmental and social requirements will be integrated into all procurement activities, including the pre-qualification, specification and evaluation stages. </w:t>
      </w:r>
    </w:p>
    <w:p w:rsidR="00E27356" w:rsidRPr="006556B6" w:rsidRDefault="00E27356" w:rsidP="006556B6">
      <w:pPr>
        <w:pStyle w:val="BodyText"/>
        <w:numPr>
          <w:ilvl w:val="0"/>
          <w:numId w:val="26"/>
        </w:numPr>
        <w:rPr>
          <w:rFonts w:ascii="Trebuchet MS" w:hAnsi="Trebuchet MS"/>
          <w:sz w:val="20"/>
          <w:szCs w:val="20"/>
        </w:rPr>
      </w:pPr>
      <w:r w:rsidRPr="006556B6">
        <w:rPr>
          <w:rFonts w:ascii="Trebuchet MS" w:hAnsi="Trebuchet MS"/>
          <w:sz w:val="20"/>
          <w:szCs w:val="20"/>
        </w:rPr>
        <w:t xml:space="preserve">We will evaluate the environmental and social impacts of a particular product or service over its whole life cycle.  When we do this we will use appropriate supplier sustainability performance assessment criteria and weightings. </w:t>
      </w:r>
    </w:p>
    <w:p w:rsidR="00E27356" w:rsidRPr="006556B6" w:rsidRDefault="00E27356" w:rsidP="006556B6">
      <w:pPr>
        <w:pStyle w:val="BodyText"/>
        <w:numPr>
          <w:ilvl w:val="0"/>
          <w:numId w:val="26"/>
        </w:numPr>
        <w:rPr>
          <w:rFonts w:ascii="Trebuchet MS" w:hAnsi="Trebuchet MS"/>
          <w:sz w:val="20"/>
          <w:szCs w:val="20"/>
        </w:rPr>
      </w:pPr>
      <w:r w:rsidRPr="006556B6">
        <w:rPr>
          <w:rFonts w:ascii="Trebuchet MS" w:hAnsi="Trebuchet MS"/>
          <w:sz w:val="20"/>
          <w:szCs w:val="20"/>
        </w:rPr>
        <w:t xml:space="preserve">We will also encourage and influence our suppliers to improve their sustainability practice and will inform and educate potential suppliers on our corporate sustainability objectives. </w:t>
      </w:r>
    </w:p>
    <w:p w:rsidR="00E27356" w:rsidRPr="006556B6" w:rsidRDefault="00E27356" w:rsidP="006556B6">
      <w:pPr>
        <w:pStyle w:val="BodyText"/>
        <w:numPr>
          <w:ilvl w:val="0"/>
          <w:numId w:val="26"/>
        </w:numPr>
        <w:rPr>
          <w:rFonts w:ascii="Trebuchet MS" w:hAnsi="Trebuchet MS"/>
          <w:sz w:val="20"/>
          <w:szCs w:val="20"/>
        </w:rPr>
      </w:pPr>
      <w:r w:rsidRPr="006556B6">
        <w:rPr>
          <w:rFonts w:ascii="Trebuchet MS" w:hAnsi="Trebuchet MS"/>
          <w:sz w:val="20"/>
          <w:szCs w:val="20"/>
        </w:rPr>
        <w:t xml:space="preserve">Whilst this sustainable procurement policy applies to all our suppliers, we will strive to ensure that it does not place unnecessary requirements on small to medium-sized enterprises (SMEs), ensuring that they are not put at a disadvantage in doing business with us and addressing any barriers to entry. </w:t>
      </w:r>
    </w:p>
    <w:p w:rsidR="00E27356" w:rsidRPr="006556B6" w:rsidRDefault="00E27356" w:rsidP="006556B6">
      <w:pPr>
        <w:pStyle w:val="BodyText"/>
        <w:rPr>
          <w:rFonts w:ascii="Trebuchet MS" w:hAnsi="Trebuchet MS"/>
          <w:bCs/>
          <w:sz w:val="20"/>
          <w:szCs w:val="20"/>
          <w:u w:val="single"/>
        </w:rPr>
      </w:pPr>
    </w:p>
    <w:p w:rsidR="00E27356" w:rsidRPr="006556B6" w:rsidRDefault="00E27356" w:rsidP="006556B6">
      <w:pPr>
        <w:pStyle w:val="BodyText"/>
        <w:rPr>
          <w:rFonts w:ascii="Trebuchet MS" w:hAnsi="Trebuchet MS"/>
          <w:b/>
          <w:bCs/>
          <w:sz w:val="24"/>
          <w:szCs w:val="24"/>
        </w:rPr>
      </w:pPr>
      <w:r w:rsidRPr="006556B6">
        <w:rPr>
          <w:rFonts w:ascii="Trebuchet MS" w:hAnsi="Trebuchet MS"/>
          <w:b/>
          <w:bCs/>
          <w:sz w:val="24"/>
          <w:szCs w:val="24"/>
        </w:rPr>
        <w:t xml:space="preserve">Our accountability </w:t>
      </w:r>
    </w:p>
    <w:p w:rsidR="00E27356" w:rsidRPr="006556B6" w:rsidRDefault="00E27356" w:rsidP="006556B6">
      <w:pPr>
        <w:pStyle w:val="BodyText"/>
        <w:numPr>
          <w:ilvl w:val="0"/>
          <w:numId w:val="27"/>
        </w:numPr>
        <w:rPr>
          <w:rFonts w:ascii="Trebuchet MS" w:hAnsi="Trebuchet MS"/>
          <w:sz w:val="20"/>
          <w:szCs w:val="20"/>
        </w:rPr>
      </w:pPr>
      <w:r w:rsidRPr="006556B6">
        <w:rPr>
          <w:rFonts w:ascii="Trebuchet MS" w:hAnsi="Trebuchet MS"/>
          <w:sz w:val="20"/>
          <w:szCs w:val="20"/>
        </w:rPr>
        <w:t xml:space="preserve">All our business premises and relevant members of staff have shared responsibility for integrating the provisions of this policy into their procurement decision-making. </w:t>
      </w:r>
    </w:p>
    <w:p w:rsidR="00E27356" w:rsidRPr="006556B6" w:rsidRDefault="00E27356" w:rsidP="006556B6">
      <w:pPr>
        <w:pStyle w:val="BodyText"/>
        <w:numPr>
          <w:ilvl w:val="0"/>
          <w:numId w:val="27"/>
        </w:numPr>
        <w:rPr>
          <w:rFonts w:ascii="Trebuchet MS" w:hAnsi="Trebuchet MS"/>
          <w:sz w:val="20"/>
          <w:szCs w:val="20"/>
        </w:rPr>
      </w:pPr>
      <w:r w:rsidRPr="006556B6">
        <w:rPr>
          <w:rFonts w:ascii="Trebuchet MS" w:hAnsi="Trebuchet MS"/>
          <w:sz w:val="20"/>
          <w:szCs w:val="20"/>
        </w:rPr>
        <w:t>Our central procurement team has the overall accountability for developing a coordinated and integrated approach to implementing this sustainable procurement policy across the whole of the</w:t>
      </w:r>
      <w:r w:rsidRPr="006556B6">
        <w:rPr>
          <w:rFonts w:ascii="Trebuchet MS" w:hAnsi="Trebuchet MS"/>
          <w:sz w:val="20"/>
          <w:szCs w:val="20"/>
          <w:lang w:val="en-GB"/>
        </w:rPr>
        <w:t xml:space="preserve"> organisation</w:t>
      </w:r>
      <w:r w:rsidRPr="006556B6">
        <w:rPr>
          <w:rFonts w:ascii="Trebuchet MS" w:hAnsi="Trebuchet MS"/>
          <w:sz w:val="20"/>
          <w:szCs w:val="20"/>
        </w:rPr>
        <w:t xml:space="preserve">. </w:t>
      </w:r>
    </w:p>
    <w:p w:rsidR="00E27356" w:rsidRPr="006556B6" w:rsidRDefault="00E27356" w:rsidP="006556B6">
      <w:pPr>
        <w:pStyle w:val="BodyText"/>
        <w:numPr>
          <w:ilvl w:val="0"/>
          <w:numId w:val="27"/>
        </w:numPr>
        <w:rPr>
          <w:rFonts w:ascii="Trebuchet MS" w:hAnsi="Trebuchet MS"/>
          <w:sz w:val="20"/>
          <w:szCs w:val="20"/>
        </w:rPr>
      </w:pPr>
      <w:r w:rsidRPr="006556B6">
        <w:rPr>
          <w:rFonts w:ascii="Trebuchet MS" w:hAnsi="Trebuchet MS"/>
          <w:sz w:val="20"/>
          <w:szCs w:val="20"/>
        </w:rPr>
        <w:t>We will review this policy and associated procedures on an annual basis and involve our suppliers in this process.</w:t>
      </w:r>
    </w:p>
    <w:p w:rsidR="00E27356" w:rsidRPr="006556B6" w:rsidRDefault="00E27356" w:rsidP="006556B6">
      <w:pPr>
        <w:pStyle w:val="BodyText"/>
        <w:numPr>
          <w:ilvl w:val="0"/>
          <w:numId w:val="27"/>
        </w:numPr>
        <w:rPr>
          <w:rFonts w:ascii="Trebuchet MS" w:hAnsi="Trebuchet MS"/>
          <w:sz w:val="20"/>
          <w:szCs w:val="20"/>
        </w:rPr>
      </w:pPr>
      <w:r w:rsidRPr="006556B6">
        <w:rPr>
          <w:rFonts w:ascii="Trebuchet MS" w:hAnsi="Trebuchet MS"/>
          <w:sz w:val="20"/>
          <w:szCs w:val="20"/>
        </w:rPr>
        <w:t xml:space="preserve">We will verify our performance against this policy, using external assessors, whenever possible. </w:t>
      </w:r>
    </w:p>
    <w:p w:rsidR="00E27356" w:rsidRPr="006556B6" w:rsidRDefault="00E27356" w:rsidP="006556B6">
      <w:pPr>
        <w:pStyle w:val="BodyText"/>
        <w:numPr>
          <w:ilvl w:val="0"/>
          <w:numId w:val="27"/>
        </w:numPr>
        <w:rPr>
          <w:rFonts w:ascii="Trebuchet MS" w:hAnsi="Trebuchet MS"/>
          <w:sz w:val="20"/>
          <w:szCs w:val="20"/>
        </w:rPr>
      </w:pPr>
      <w:r w:rsidRPr="006556B6">
        <w:rPr>
          <w:rFonts w:ascii="Trebuchet MS" w:hAnsi="Trebuchet MS"/>
          <w:sz w:val="20"/>
          <w:szCs w:val="20"/>
        </w:rPr>
        <w:t xml:space="preserve">We will monitor and report, where appropriate, on the environmental and social outcomes achieved from the application of this sustainable procurement policy. </w:t>
      </w:r>
    </w:p>
    <w:p w:rsidR="00E27356" w:rsidRPr="006556B6" w:rsidRDefault="00E27356" w:rsidP="006556B6">
      <w:pPr>
        <w:pStyle w:val="BodyText"/>
        <w:rPr>
          <w:rFonts w:ascii="Trebuchet MS" w:hAnsi="Trebuchet MS"/>
          <w:sz w:val="20"/>
          <w:szCs w:val="20"/>
        </w:rPr>
      </w:pPr>
    </w:p>
    <w:p w:rsidR="00E27356" w:rsidRPr="006556B6" w:rsidRDefault="00E27356" w:rsidP="006556B6">
      <w:pPr>
        <w:widowControl w:val="0"/>
        <w:spacing w:after="120"/>
        <w:jc w:val="right"/>
        <w:rPr>
          <w:rFonts w:ascii="Trebuchet MS" w:hAnsi="Trebuchet MS"/>
          <w:sz w:val="20"/>
          <w:szCs w:val="20"/>
        </w:rPr>
      </w:pPr>
      <w:r>
        <w:rPr>
          <w:rFonts w:ascii="Trebuchet MS" w:hAnsi="Trebuchet MS"/>
          <w:sz w:val="20"/>
          <w:szCs w:val="20"/>
        </w:rPr>
        <w:t xml:space="preserve">April </w:t>
      </w:r>
      <w:r w:rsidRPr="006556B6">
        <w:rPr>
          <w:rFonts w:ascii="Trebuchet MS" w:hAnsi="Trebuchet MS"/>
          <w:sz w:val="20"/>
          <w:szCs w:val="20"/>
        </w:rPr>
        <w:t xml:space="preserve"> 2012</w:t>
      </w: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sz w:val="20"/>
          <w:szCs w:val="20"/>
          <w:lang w:val="en-GB"/>
        </w:rPr>
      </w:pPr>
      <w:r>
        <w:rPr>
          <w:noProof/>
          <w:lang w:val="en-GB" w:eastAsia="en-GB"/>
        </w:rPr>
        <w:pict>
          <v:shapetype id="_x0000_t202" coordsize="21600,21600" o:spt="202" path="m,l,21600r21600,l21600,xe">
            <v:stroke joinstyle="miter"/>
            <v:path gradientshapeok="t" o:connecttype="rect"/>
          </v:shapetype>
          <v:shape id="_x0000_s1026" type="#_x0000_t202" style="position:absolute;margin-left:-27pt;margin-top:7.45pt;width:513pt;height:90pt;z-index:251658240">
            <v:textbox style="mso-next-textbox:#_x0000_s1026">
              <w:txbxContent>
                <w:p w:rsidR="00E27356" w:rsidRDefault="00E27356" w:rsidP="008925F4">
                  <w:pPr>
                    <w:rPr>
                      <w:rFonts w:ascii="Trebuchet MS" w:hAnsi="Trebuchet MS"/>
                      <w:sz w:val="20"/>
                      <w:szCs w:val="20"/>
                    </w:rPr>
                  </w:pPr>
                  <w:r w:rsidRPr="006B79D3">
                    <w:rPr>
                      <w:rFonts w:ascii="Trebuchet MS" w:hAnsi="Trebuchet MS"/>
                      <w:sz w:val="20"/>
                      <w:szCs w:val="20"/>
                    </w:rPr>
                    <w:t xml:space="preserve">This model document has been supplied to The Survey Association (TSA) by Croner, a publishing division of Wolters Kluwer, for the use of the Association and its members.  Members may adapt the material for their own use and are not required to use the Croner branding. </w:t>
                  </w:r>
                </w:p>
                <w:p w:rsidR="00E27356" w:rsidRPr="006B79D3" w:rsidRDefault="00E27356" w:rsidP="008925F4">
                  <w:pPr>
                    <w:rPr>
                      <w:rFonts w:ascii="Trebuchet MS" w:hAnsi="Trebuchet MS"/>
                      <w:sz w:val="20"/>
                      <w:szCs w:val="20"/>
                    </w:rPr>
                  </w:pPr>
                  <w:r w:rsidRPr="006B79D3">
                    <w:rPr>
                      <w:rFonts w:ascii="Trebuchet MS" w:hAnsi="Trebuchet MS"/>
                      <w:sz w:val="20"/>
                      <w:szCs w:val="20"/>
                    </w:rPr>
                    <w:t>The content is legally compliant at the time of publication, but Wolters Kluwer does not accept any liability for the use of the document by the Association or its members.</w:t>
                  </w:r>
                </w:p>
                <w:p w:rsidR="00E27356" w:rsidRDefault="00E27356" w:rsidP="008925F4"/>
              </w:txbxContent>
            </v:textbox>
          </v:shape>
        </w:pict>
      </w: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sz w:val="20"/>
          <w:szCs w:val="20"/>
          <w:lang w:val="en-GB"/>
        </w:rPr>
      </w:pPr>
    </w:p>
    <w:p w:rsidR="00E27356" w:rsidRPr="006556B6" w:rsidRDefault="00E27356" w:rsidP="006556B6">
      <w:pPr>
        <w:pStyle w:val="BodyText"/>
        <w:rPr>
          <w:rFonts w:ascii="Trebuchet MS" w:hAnsi="Trebuchet MS"/>
          <w:lang w:val="en-GB"/>
        </w:rPr>
      </w:pPr>
    </w:p>
    <w:sectPr w:rsidR="00E27356" w:rsidRPr="006556B6" w:rsidSect="00883718">
      <w:headerReference w:type="default" r:id="rId7"/>
      <w:footerReference w:type="default" r:id="rId8"/>
      <w:pgSz w:w="12240" w:h="15840"/>
      <w:pgMar w:top="1797" w:right="1440" w:bottom="1440" w:left="1440" w:header="708" w:footer="1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56" w:rsidRDefault="00E27356">
      <w:r>
        <w:separator/>
      </w:r>
    </w:p>
  </w:endnote>
  <w:endnote w:type="continuationSeparator" w:id="0">
    <w:p w:rsidR="00E27356" w:rsidRDefault="00E27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liss 2 Regular">
    <w:altName w:val="Franklin Gothic Medium Con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56" w:rsidRPr="00883718" w:rsidRDefault="00E27356" w:rsidP="00883718">
    <w:pPr>
      <w:spacing w:after="0" w:line="240" w:lineRule="auto"/>
      <w:ind w:firstLine="720"/>
      <w:rPr>
        <w:rFonts w:ascii="Bliss 2 Regular" w:hAnsi="Bliss 2 Regular"/>
        <w:sz w:val="12"/>
        <w:szCs w:val="12"/>
        <w:lang w:val="en-GB" w:eastAsia="en-GB"/>
      </w:rPr>
    </w:pPr>
    <w:r w:rsidRPr="00883718">
      <w:rPr>
        <w:rFonts w:ascii="Bliss 2 Regular" w:hAnsi="Bliss 2 Regular"/>
        <w:sz w:val="12"/>
        <w:szCs w:val="12"/>
        <w:lang w:val="en-GB" w:eastAsia="en-GB"/>
      </w:rPr>
      <w:t>Wolters Kluwer (UK) Limited, registered in England Number 450650, is a member of the Wolters Kluwer Group.  VAT Registration Number 710 9357 45</w:t>
    </w:r>
  </w:p>
  <w:p w:rsidR="00E27356" w:rsidRPr="00883718" w:rsidRDefault="00E27356" w:rsidP="00883718">
    <w:pPr>
      <w:spacing w:after="0" w:line="240" w:lineRule="auto"/>
      <w:rPr>
        <w:rFonts w:ascii="Bliss 2 Regular" w:hAnsi="Bliss 2 Regular"/>
        <w:sz w:val="12"/>
        <w:szCs w:val="12"/>
        <w:lang w:val="en-GB" w:eastAsia="en-GB"/>
      </w:rPr>
    </w:pPr>
    <w:r w:rsidRPr="00883718">
      <w:rPr>
        <w:rFonts w:ascii="Bliss 2 Regular" w:hAnsi="Bliss 2 Regular"/>
        <w:sz w:val="12"/>
        <w:szCs w:val="12"/>
        <w:lang w:val="en-GB" w:eastAsia="en-GB"/>
      </w:rPr>
      <w:t xml:space="preserve">Registered office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83718">
              <w:rPr>
                <w:rFonts w:ascii="Bliss 2 Regular" w:hAnsi="Bliss 2 Regular"/>
                <w:sz w:val="12"/>
                <w:szCs w:val="12"/>
                <w:lang w:val="en-GB" w:eastAsia="en-GB"/>
              </w:rPr>
              <w:t>145 London Road</w:t>
            </w:r>
          </w:smartTag>
        </w:smartTag>
        <w:r w:rsidRPr="00883718">
          <w:rPr>
            <w:rFonts w:ascii="Bliss 2 Regular" w:hAnsi="Bliss 2 Regular"/>
            <w:sz w:val="12"/>
            <w:szCs w:val="12"/>
            <w:lang w:val="en-GB" w:eastAsia="en-GB"/>
          </w:rPr>
          <w:t xml:space="preserve">, </w:t>
        </w:r>
        <w:smartTag w:uri="urn:schemas-microsoft-com:office:smarttags" w:element="City">
          <w:r w:rsidRPr="00883718">
            <w:rPr>
              <w:rFonts w:ascii="Bliss 2 Regular" w:hAnsi="Bliss 2 Regular"/>
              <w:sz w:val="12"/>
              <w:szCs w:val="12"/>
              <w:lang w:val="en-GB" w:eastAsia="en-GB"/>
            </w:rPr>
            <w:t>Kingston</w:t>
          </w:r>
        </w:smartTag>
      </w:smartTag>
    </w:smartTag>
    <w:r w:rsidRPr="00883718">
      <w:rPr>
        <w:rFonts w:ascii="Bliss 2 Regular" w:hAnsi="Bliss 2 Regular"/>
        <w:sz w:val="12"/>
        <w:szCs w:val="12"/>
        <w:lang w:val="en-GB" w:eastAsia="en-GB"/>
      </w:rPr>
      <w:t xml:space="preserve"> upon </w:t>
    </w:r>
    <w:smartTag w:uri="urn:schemas-microsoft-com:office:smarttags" w:element="place">
      <w:r w:rsidRPr="00883718">
        <w:rPr>
          <w:rFonts w:ascii="Bliss 2 Regular" w:hAnsi="Bliss 2 Regular"/>
          <w:sz w:val="12"/>
          <w:szCs w:val="12"/>
          <w:lang w:val="en-GB" w:eastAsia="en-GB"/>
        </w:rPr>
        <w:t>Thames</w:t>
      </w:r>
    </w:smartTag>
    <w:r w:rsidRPr="00883718">
      <w:rPr>
        <w:rFonts w:ascii="Bliss 2 Regular" w:hAnsi="Bliss 2 Regular"/>
        <w:sz w:val="12"/>
        <w:szCs w:val="12"/>
        <w:lang w:val="en-GB" w:eastAsia="en-GB"/>
      </w:rPr>
      <w:t xml:space="preserve"> KT2 6SR.  Wolters Kluwer (UK) Limited is authorised and regulated by the Financial Services Authority for general insurance business</w:t>
    </w:r>
  </w:p>
  <w:p w:rsidR="00E27356" w:rsidRDefault="00E27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56" w:rsidRDefault="00E27356">
      <w:r>
        <w:separator/>
      </w:r>
    </w:p>
  </w:footnote>
  <w:footnote w:type="continuationSeparator" w:id="0">
    <w:p w:rsidR="00E27356" w:rsidRDefault="00E27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56" w:rsidRDefault="00E27356">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99.7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F663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AEE40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AF8E7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12E7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16D1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9224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C27B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6A78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281B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5859A8"/>
    <w:lvl w:ilvl="0">
      <w:start w:val="1"/>
      <w:numFmt w:val="bullet"/>
      <w:lvlText w:val=""/>
      <w:lvlJc w:val="left"/>
      <w:pPr>
        <w:tabs>
          <w:tab w:val="num" w:pos="360"/>
        </w:tabs>
        <w:ind w:left="360" w:hanging="360"/>
      </w:pPr>
      <w:rPr>
        <w:rFonts w:ascii="Symbol" w:hAnsi="Symbol" w:hint="default"/>
      </w:rPr>
    </w:lvl>
  </w:abstractNum>
  <w:abstractNum w:abstractNumId="10">
    <w:nsid w:val="05036B5E"/>
    <w:multiLevelType w:val="multilevel"/>
    <w:tmpl w:val="7260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7242AF"/>
    <w:multiLevelType w:val="hybridMultilevel"/>
    <w:tmpl w:val="66B82140"/>
    <w:lvl w:ilvl="0" w:tplc="08090001">
      <w:start w:val="1"/>
      <w:numFmt w:val="bullet"/>
      <w:lvlText w:val=""/>
      <w:lvlJc w:val="left"/>
      <w:pPr>
        <w:tabs>
          <w:tab w:val="num" w:pos="720"/>
        </w:tabs>
        <w:ind w:left="720" w:hanging="360"/>
      </w:pPr>
      <w:rPr>
        <w:rFonts w:ascii="Symbol" w:hAnsi="Symbol" w:hint="default"/>
      </w:rPr>
    </w:lvl>
    <w:lvl w:ilvl="1" w:tplc="DB863D88">
      <w:numFmt w:val="bullet"/>
      <w:lvlText w:val="-"/>
      <w:lvlJc w:val="left"/>
      <w:pPr>
        <w:tabs>
          <w:tab w:val="num" w:pos="1440"/>
        </w:tabs>
        <w:ind w:left="1440" w:hanging="360"/>
      </w:pPr>
      <w:rPr>
        <w:rFonts w:ascii="Trebuchet MS" w:eastAsia="Times New Roman" w:hAnsi="Trebuchet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5807639"/>
    <w:multiLevelType w:val="multilevel"/>
    <w:tmpl w:val="6FE2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6B464C"/>
    <w:multiLevelType w:val="multilevel"/>
    <w:tmpl w:val="0866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6329A0"/>
    <w:multiLevelType w:val="multilevel"/>
    <w:tmpl w:val="3238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2A0169"/>
    <w:multiLevelType w:val="hybridMultilevel"/>
    <w:tmpl w:val="B2E231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CAA20C0"/>
    <w:multiLevelType w:val="multilevel"/>
    <w:tmpl w:val="358E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65A37"/>
    <w:multiLevelType w:val="hybridMultilevel"/>
    <w:tmpl w:val="5F6292E0"/>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nsid w:val="46EF1002"/>
    <w:multiLevelType w:val="multilevel"/>
    <w:tmpl w:val="9B4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AF692C"/>
    <w:multiLevelType w:val="multilevel"/>
    <w:tmpl w:val="2B26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92274"/>
    <w:multiLevelType w:val="hybridMultilevel"/>
    <w:tmpl w:val="35D8EF5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FBD28E7"/>
    <w:multiLevelType w:val="hybridMultilevel"/>
    <w:tmpl w:val="9D069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2FF0B4B"/>
    <w:multiLevelType w:val="hybridMultilevel"/>
    <w:tmpl w:val="BB146BA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3">
    <w:nsid w:val="657B765A"/>
    <w:multiLevelType w:val="hybridMultilevel"/>
    <w:tmpl w:val="F392E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58950E1"/>
    <w:multiLevelType w:val="hybridMultilevel"/>
    <w:tmpl w:val="1AA21C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9C972EA"/>
    <w:multiLevelType w:val="multilevel"/>
    <w:tmpl w:val="910C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0A0957"/>
    <w:multiLevelType w:val="hybridMultilevel"/>
    <w:tmpl w:val="ED22B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15"/>
  </w:num>
  <w:num w:numId="4">
    <w:abstractNumId w:val="13"/>
  </w:num>
  <w:num w:numId="5">
    <w:abstractNumId w:val="25"/>
  </w:num>
  <w:num w:numId="6">
    <w:abstractNumId w:val="10"/>
  </w:num>
  <w:num w:numId="7">
    <w:abstractNumId w:val="19"/>
  </w:num>
  <w:num w:numId="8">
    <w:abstractNumId w:val="18"/>
  </w:num>
  <w:num w:numId="9">
    <w:abstractNumId w:val="12"/>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3"/>
  </w:num>
  <w:num w:numId="23">
    <w:abstractNumId w:val="20"/>
  </w:num>
  <w:num w:numId="24">
    <w:abstractNumId w:val="11"/>
  </w:num>
  <w:num w:numId="25">
    <w:abstractNumId w:val="22"/>
  </w:num>
  <w:num w:numId="26">
    <w:abstractNumId w:val="2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ED6"/>
    <w:rsid w:val="000304EA"/>
    <w:rsid w:val="00036555"/>
    <w:rsid w:val="00057A03"/>
    <w:rsid w:val="0008750C"/>
    <w:rsid w:val="000A2053"/>
    <w:rsid w:val="000C1174"/>
    <w:rsid w:val="000D214A"/>
    <w:rsid w:val="000D4C3B"/>
    <w:rsid w:val="000D5DE6"/>
    <w:rsid w:val="000E0E92"/>
    <w:rsid w:val="001344E7"/>
    <w:rsid w:val="001736E2"/>
    <w:rsid w:val="00180F0F"/>
    <w:rsid w:val="001B7B9F"/>
    <w:rsid w:val="001D2529"/>
    <w:rsid w:val="001E682A"/>
    <w:rsid w:val="001E7057"/>
    <w:rsid w:val="0020020D"/>
    <w:rsid w:val="00207738"/>
    <w:rsid w:val="00223E6D"/>
    <w:rsid w:val="00230239"/>
    <w:rsid w:val="002856DD"/>
    <w:rsid w:val="0029178A"/>
    <w:rsid w:val="002C28EF"/>
    <w:rsid w:val="002D2838"/>
    <w:rsid w:val="003536AD"/>
    <w:rsid w:val="0037673F"/>
    <w:rsid w:val="003C376E"/>
    <w:rsid w:val="003F116F"/>
    <w:rsid w:val="00471298"/>
    <w:rsid w:val="004A17F0"/>
    <w:rsid w:val="005C650C"/>
    <w:rsid w:val="005D5F5E"/>
    <w:rsid w:val="006068D4"/>
    <w:rsid w:val="006309D1"/>
    <w:rsid w:val="006556B6"/>
    <w:rsid w:val="00655D8E"/>
    <w:rsid w:val="00674FCA"/>
    <w:rsid w:val="00694B86"/>
    <w:rsid w:val="006B79D3"/>
    <w:rsid w:val="006C7236"/>
    <w:rsid w:val="006D2CC9"/>
    <w:rsid w:val="006E250E"/>
    <w:rsid w:val="007011E7"/>
    <w:rsid w:val="007331D0"/>
    <w:rsid w:val="00736993"/>
    <w:rsid w:val="00765402"/>
    <w:rsid w:val="007918A6"/>
    <w:rsid w:val="00796EE4"/>
    <w:rsid w:val="007A0A03"/>
    <w:rsid w:val="007E7182"/>
    <w:rsid w:val="00806AD0"/>
    <w:rsid w:val="00816113"/>
    <w:rsid w:val="00834655"/>
    <w:rsid w:val="00852BB7"/>
    <w:rsid w:val="00856BA3"/>
    <w:rsid w:val="0087670B"/>
    <w:rsid w:val="00883718"/>
    <w:rsid w:val="008925F4"/>
    <w:rsid w:val="008926E8"/>
    <w:rsid w:val="008950FA"/>
    <w:rsid w:val="008A6D2D"/>
    <w:rsid w:val="008C4C45"/>
    <w:rsid w:val="00903AF3"/>
    <w:rsid w:val="00981DCD"/>
    <w:rsid w:val="009D7025"/>
    <w:rsid w:val="00A12142"/>
    <w:rsid w:val="00A55F39"/>
    <w:rsid w:val="00A65D96"/>
    <w:rsid w:val="00A766D4"/>
    <w:rsid w:val="00AA557E"/>
    <w:rsid w:val="00AE435A"/>
    <w:rsid w:val="00B104BA"/>
    <w:rsid w:val="00B16A81"/>
    <w:rsid w:val="00B2455D"/>
    <w:rsid w:val="00B27C42"/>
    <w:rsid w:val="00B53551"/>
    <w:rsid w:val="00B54EC1"/>
    <w:rsid w:val="00B60EDF"/>
    <w:rsid w:val="00BC6B20"/>
    <w:rsid w:val="00C25E91"/>
    <w:rsid w:val="00C53662"/>
    <w:rsid w:val="00C673F7"/>
    <w:rsid w:val="00C730E4"/>
    <w:rsid w:val="00C83226"/>
    <w:rsid w:val="00CC70AE"/>
    <w:rsid w:val="00CD24FE"/>
    <w:rsid w:val="00CD3674"/>
    <w:rsid w:val="00D05E37"/>
    <w:rsid w:val="00D26DFE"/>
    <w:rsid w:val="00D50253"/>
    <w:rsid w:val="00D564B2"/>
    <w:rsid w:val="00D70276"/>
    <w:rsid w:val="00DE3B1D"/>
    <w:rsid w:val="00E220C3"/>
    <w:rsid w:val="00E2660B"/>
    <w:rsid w:val="00E27356"/>
    <w:rsid w:val="00E31ED6"/>
    <w:rsid w:val="00F32225"/>
    <w:rsid w:val="00F37B1D"/>
    <w:rsid w:val="00F6087E"/>
    <w:rsid w:val="00F656AA"/>
    <w:rsid w:val="00F675BE"/>
    <w:rsid w:val="00F73E68"/>
    <w:rsid w:val="00FE25BD"/>
    <w:rsid w:val="00FE323A"/>
    <w:rsid w:val="00FF0F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8A"/>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7670B"/>
    <w:pPr>
      <w:autoSpaceDE w:val="0"/>
      <w:autoSpaceDN w:val="0"/>
      <w:adjustRightInd w:val="0"/>
    </w:pPr>
    <w:rPr>
      <w:rFonts w:ascii="Tahoma" w:hAnsi="Tahoma" w:cs="Tahoma"/>
      <w:color w:val="000000"/>
      <w:sz w:val="24"/>
      <w:szCs w:val="24"/>
      <w:lang w:val="en-US" w:eastAsia="en-US"/>
    </w:rPr>
  </w:style>
  <w:style w:type="paragraph" w:styleId="ListParagraph">
    <w:name w:val="List Paragraph"/>
    <w:basedOn w:val="Normal"/>
    <w:uiPriority w:val="99"/>
    <w:qFormat/>
    <w:rsid w:val="0087670B"/>
    <w:pPr>
      <w:ind w:left="720"/>
      <w:contextualSpacing/>
    </w:pPr>
  </w:style>
  <w:style w:type="character" w:styleId="Hyperlink">
    <w:name w:val="Hyperlink"/>
    <w:basedOn w:val="DefaultParagraphFont"/>
    <w:uiPriority w:val="99"/>
    <w:rsid w:val="00FF0F95"/>
    <w:rPr>
      <w:rFonts w:cs="Times New Roman"/>
      <w:color w:val="0000FF"/>
      <w:u w:val="single"/>
    </w:rPr>
  </w:style>
  <w:style w:type="paragraph" w:styleId="BodyText">
    <w:name w:val="Body Text"/>
    <w:basedOn w:val="Normal"/>
    <w:link w:val="BodyTextChar"/>
    <w:uiPriority w:val="99"/>
    <w:rsid w:val="00057A03"/>
    <w:pPr>
      <w:spacing w:after="120"/>
    </w:pPr>
  </w:style>
  <w:style w:type="character" w:customStyle="1" w:styleId="BodyTextChar">
    <w:name w:val="Body Text Char"/>
    <w:basedOn w:val="DefaultParagraphFont"/>
    <w:link w:val="BodyText"/>
    <w:uiPriority w:val="99"/>
    <w:semiHidden/>
    <w:locked/>
    <w:rsid w:val="00F656AA"/>
    <w:rPr>
      <w:rFonts w:cs="Times New Roman"/>
      <w:lang w:val="en-US" w:eastAsia="en-US"/>
    </w:rPr>
  </w:style>
  <w:style w:type="paragraph" w:styleId="BalloonText">
    <w:name w:val="Balloon Text"/>
    <w:basedOn w:val="Normal"/>
    <w:link w:val="BalloonTextChar"/>
    <w:uiPriority w:val="99"/>
    <w:semiHidden/>
    <w:rsid w:val="00E220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6E8"/>
    <w:rPr>
      <w:rFonts w:ascii="Times New Roman" w:hAnsi="Times New Roman" w:cs="Times New Roman"/>
      <w:sz w:val="2"/>
      <w:lang w:val="en-US" w:eastAsia="en-US"/>
    </w:rPr>
  </w:style>
  <w:style w:type="paragraph" w:styleId="Header">
    <w:name w:val="header"/>
    <w:basedOn w:val="Normal"/>
    <w:link w:val="HeaderChar"/>
    <w:uiPriority w:val="99"/>
    <w:rsid w:val="00883718"/>
    <w:pPr>
      <w:tabs>
        <w:tab w:val="center" w:pos="4153"/>
        <w:tab w:val="right" w:pos="8306"/>
      </w:tabs>
    </w:pPr>
  </w:style>
  <w:style w:type="character" w:customStyle="1" w:styleId="HeaderChar">
    <w:name w:val="Header Char"/>
    <w:basedOn w:val="DefaultParagraphFont"/>
    <w:link w:val="Header"/>
    <w:uiPriority w:val="99"/>
    <w:semiHidden/>
    <w:locked/>
    <w:rsid w:val="00D05E37"/>
    <w:rPr>
      <w:rFonts w:cs="Times New Roman"/>
      <w:lang w:val="en-US" w:eastAsia="en-US"/>
    </w:rPr>
  </w:style>
  <w:style w:type="paragraph" w:styleId="Footer">
    <w:name w:val="footer"/>
    <w:basedOn w:val="Normal"/>
    <w:link w:val="FooterChar"/>
    <w:uiPriority w:val="99"/>
    <w:rsid w:val="00883718"/>
    <w:pPr>
      <w:tabs>
        <w:tab w:val="center" w:pos="4153"/>
        <w:tab w:val="right" w:pos="8306"/>
      </w:tabs>
    </w:pPr>
  </w:style>
  <w:style w:type="character" w:customStyle="1" w:styleId="FooterChar">
    <w:name w:val="Footer Char"/>
    <w:basedOn w:val="DefaultParagraphFont"/>
    <w:link w:val="Footer"/>
    <w:uiPriority w:val="99"/>
    <w:semiHidden/>
    <w:locked/>
    <w:rsid w:val="00D05E37"/>
    <w:rPr>
      <w:rFonts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852723987">
      <w:marLeft w:val="0"/>
      <w:marRight w:val="0"/>
      <w:marTop w:val="0"/>
      <w:marBottom w:val="0"/>
      <w:divBdr>
        <w:top w:val="none" w:sz="0" w:space="0" w:color="auto"/>
        <w:left w:val="none" w:sz="0" w:space="0" w:color="auto"/>
        <w:bottom w:val="none" w:sz="0" w:space="0" w:color="auto"/>
        <w:right w:val="none" w:sz="0" w:space="0" w:color="auto"/>
      </w:divBdr>
    </w:div>
    <w:div w:id="1852723988">
      <w:marLeft w:val="0"/>
      <w:marRight w:val="0"/>
      <w:marTop w:val="0"/>
      <w:marBottom w:val="0"/>
      <w:divBdr>
        <w:top w:val="none" w:sz="0" w:space="0" w:color="auto"/>
        <w:left w:val="none" w:sz="0" w:space="0" w:color="auto"/>
        <w:bottom w:val="none" w:sz="0" w:space="0" w:color="auto"/>
        <w:right w:val="none" w:sz="0" w:space="0" w:color="auto"/>
      </w:divBdr>
    </w:div>
    <w:div w:id="1852723989">
      <w:marLeft w:val="0"/>
      <w:marRight w:val="0"/>
      <w:marTop w:val="0"/>
      <w:marBottom w:val="0"/>
      <w:divBdr>
        <w:top w:val="none" w:sz="0" w:space="0" w:color="auto"/>
        <w:left w:val="none" w:sz="0" w:space="0" w:color="auto"/>
        <w:bottom w:val="none" w:sz="0" w:space="0" w:color="auto"/>
        <w:right w:val="none" w:sz="0" w:space="0" w:color="auto"/>
      </w:divBdr>
    </w:div>
    <w:div w:id="1852723990">
      <w:marLeft w:val="0"/>
      <w:marRight w:val="0"/>
      <w:marTop w:val="0"/>
      <w:marBottom w:val="0"/>
      <w:divBdr>
        <w:top w:val="none" w:sz="0" w:space="0" w:color="auto"/>
        <w:left w:val="none" w:sz="0" w:space="0" w:color="auto"/>
        <w:bottom w:val="none" w:sz="0" w:space="0" w:color="auto"/>
        <w:right w:val="none" w:sz="0" w:space="0" w:color="auto"/>
      </w:divBdr>
    </w:div>
    <w:div w:id="1852723991">
      <w:marLeft w:val="0"/>
      <w:marRight w:val="0"/>
      <w:marTop w:val="0"/>
      <w:marBottom w:val="0"/>
      <w:divBdr>
        <w:top w:val="none" w:sz="0" w:space="0" w:color="auto"/>
        <w:left w:val="none" w:sz="0" w:space="0" w:color="auto"/>
        <w:bottom w:val="none" w:sz="0" w:space="0" w:color="auto"/>
        <w:right w:val="none" w:sz="0" w:space="0" w:color="auto"/>
      </w:divBdr>
    </w:div>
    <w:div w:id="1852723992">
      <w:marLeft w:val="0"/>
      <w:marRight w:val="0"/>
      <w:marTop w:val="0"/>
      <w:marBottom w:val="0"/>
      <w:divBdr>
        <w:top w:val="none" w:sz="0" w:space="0" w:color="auto"/>
        <w:left w:val="none" w:sz="0" w:space="0" w:color="auto"/>
        <w:bottom w:val="none" w:sz="0" w:space="0" w:color="auto"/>
        <w:right w:val="none" w:sz="0" w:space="0" w:color="auto"/>
      </w:divBdr>
    </w:div>
    <w:div w:id="1852723993">
      <w:marLeft w:val="0"/>
      <w:marRight w:val="0"/>
      <w:marTop w:val="0"/>
      <w:marBottom w:val="0"/>
      <w:divBdr>
        <w:top w:val="none" w:sz="0" w:space="0" w:color="auto"/>
        <w:left w:val="none" w:sz="0" w:space="0" w:color="auto"/>
        <w:bottom w:val="none" w:sz="0" w:space="0" w:color="auto"/>
        <w:right w:val="none" w:sz="0" w:space="0" w:color="auto"/>
      </w:divBdr>
    </w:div>
    <w:div w:id="1852723994">
      <w:marLeft w:val="0"/>
      <w:marRight w:val="0"/>
      <w:marTop w:val="0"/>
      <w:marBottom w:val="0"/>
      <w:divBdr>
        <w:top w:val="none" w:sz="0" w:space="0" w:color="auto"/>
        <w:left w:val="none" w:sz="0" w:space="0" w:color="auto"/>
        <w:bottom w:val="none" w:sz="0" w:space="0" w:color="auto"/>
        <w:right w:val="none" w:sz="0" w:space="0" w:color="auto"/>
      </w:divBdr>
    </w:div>
    <w:div w:id="1852723995">
      <w:marLeft w:val="0"/>
      <w:marRight w:val="0"/>
      <w:marTop w:val="0"/>
      <w:marBottom w:val="0"/>
      <w:divBdr>
        <w:top w:val="none" w:sz="0" w:space="0" w:color="auto"/>
        <w:left w:val="none" w:sz="0" w:space="0" w:color="auto"/>
        <w:bottom w:val="none" w:sz="0" w:space="0" w:color="auto"/>
        <w:right w:val="none" w:sz="0" w:space="0" w:color="auto"/>
      </w:divBdr>
    </w:div>
    <w:div w:id="1852723996">
      <w:marLeft w:val="0"/>
      <w:marRight w:val="0"/>
      <w:marTop w:val="0"/>
      <w:marBottom w:val="0"/>
      <w:divBdr>
        <w:top w:val="none" w:sz="0" w:space="0" w:color="auto"/>
        <w:left w:val="none" w:sz="0" w:space="0" w:color="auto"/>
        <w:bottom w:val="none" w:sz="0" w:space="0" w:color="auto"/>
        <w:right w:val="none" w:sz="0" w:space="0" w:color="auto"/>
      </w:divBdr>
    </w:div>
    <w:div w:id="1852723997">
      <w:marLeft w:val="0"/>
      <w:marRight w:val="0"/>
      <w:marTop w:val="0"/>
      <w:marBottom w:val="0"/>
      <w:divBdr>
        <w:top w:val="none" w:sz="0" w:space="0" w:color="auto"/>
        <w:left w:val="none" w:sz="0" w:space="0" w:color="auto"/>
        <w:bottom w:val="none" w:sz="0" w:space="0" w:color="auto"/>
        <w:right w:val="none" w:sz="0" w:space="0" w:color="auto"/>
      </w:divBdr>
    </w:div>
    <w:div w:id="1852723998">
      <w:marLeft w:val="0"/>
      <w:marRight w:val="0"/>
      <w:marTop w:val="0"/>
      <w:marBottom w:val="0"/>
      <w:divBdr>
        <w:top w:val="none" w:sz="0" w:space="0" w:color="auto"/>
        <w:left w:val="none" w:sz="0" w:space="0" w:color="auto"/>
        <w:bottom w:val="none" w:sz="0" w:space="0" w:color="auto"/>
        <w:right w:val="none" w:sz="0" w:space="0" w:color="auto"/>
      </w:divBdr>
    </w:div>
    <w:div w:id="1852723999">
      <w:marLeft w:val="0"/>
      <w:marRight w:val="0"/>
      <w:marTop w:val="0"/>
      <w:marBottom w:val="0"/>
      <w:divBdr>
        <w:top w:val="none" w:sz="0" w:space="0" w:color="auto"/>
        <w:left w:val="none" w:sz="0" w:space="0" w:color="auto"/>
        <w:bottom w:val="none" w:sz="0" w:space="0" w:color="auto"/>
        <w:right w:val="none" w:sz="0" w:space="0" w:color="auto"/>
      </w:divBdr>
    </w:div>
    <w:div w:id="1852724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427</TotalTime>
  <Pages>4</Pages>
  <Words>1024</Words>
  <Characters>5462</Characters>
  <Application>Microsoft Office Outlook</Application>
  <DocSecurity>0</DocSecurity>
  <Lines>0</Lines>
  <Paragraphs>0</Paragraphs>
  <ScaleCrop>false</ScaleCrop>
  <Company>Allen &amp; York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vkenrick</dc:creator>
  <cp:keywords/>
  <dc:description/>
  <cp:lastModifiedBy>Rachel Tyrrell</cp:lastModifiedBy>
  <cp:revision>56</cp:revision>
  <dcterms:created xsi:type="dcterms:W3CDTF">2011-11-08T16:33:00Z</dcterms:created>
  <dcterms:modified xsi:type="dcterms:W3CDTF">2012-04-30T10:23:00Z</dcterms:modified>
</cp:coreProperties>
</file>